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四川省粮油科研所2019年预算公开补充说明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所2019年因公出国（境）经费暂未编入年初部门预算。主要原因是：为贯彻落实省委“四向拓展、全域开放”战略部署，加快构建立体全面开放格局，2019年省级调整因公出国（境）经费管理方式，实行总额控制、集中管理，因公出国（境）经费年初预算全部保留在省财政。在2019年预算执行中我所无因公出国（境）经费预算安排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特此说明！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四川省粮油科研所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F0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2021-06-16T07:52:22Z</dcterms:created>
  <dc:creator>admin</dc:creator>
  <cp:lastModifiedBy>周芮西</cp:lastModifiedBy>
  <dcterms:modified xsi:type="dcterms:W3CDTF">2021-06-16T08:00:48Z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8E433F0BF97A4D2BA517AECD4992ABD2</vt:lpwstr>
  </property>
</Properties>
</file>